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0D" w:rsidRDefault="0052350D" w:rsidP="0052350D">
      <w:pPr>
        <w:rPr>
          <w:rFonts w:cstheme="minorHAnsi"/>
        </w:rPr>
      </w:pPr>
      <w:bookmarkStart w:id="0" w:name="_GoBack"/>
    </w:p>
    <w:tbl>
      <w:tblPr>
        <w:tblW w:w="957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3"/>
        <w:gridCol w:w="1134"/>
        <w:gridCol w:w="1134"/>
        <w:gridCol w:w="2835"/>
        <w:gridCol w:w="2693"/>
      </w:tblGrid>
      <w:tr w:rsidR="0052350D" w:rsidRPr="007D6503" w:rsidTr="00BD75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7D6503" w:rsidRDefault="0052350D" w:rsidP="00BD7511">
            <w:pPr>
              <w:snapToGrid w:val="0"/>
              <w:rPr>
                <w:rFonts w:cstheme="minorHAnsi"/>
              </w:rPr>
            </w:pPr>
            <w:r w:rsidRPr="007D6503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b/>
                <w:bCs/>
                <w:sz w:val="20"/>
                <w:szCs w:val="20"/>
              </w:rPr>
              <w:t xml:space="preserve">Benoemd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b/>
                <w:bCs/>
                <w:sz w:val="20"/>
                <w:szCs w:val="20"/>
              </w:rPr>
              <w:t>Termijn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b/>
                <w:bCs/>
                <w:sz w:val="20"/>
                <w:szCs w:val="20"/>
              </w:rPr>
              <w:t>Aandachtsgebied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b/>
                <w:bCs/>
                <w:sz w:val="20"/>
                <w:szCs w:val="20"/>
              </w:rPr>
              <w:t>Beroep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en </w:t>
            </w:r>
            <w:r w:rsidRPr="00174593">
              <w:rPr>
                <w:rFonts w:cstheme="minorHAnsi"/>
                <w:b/>
                <w:bCs/>
                <w:sz w:val="20"/>
                <w:szCs w:val="20"/>
              </w:rPr>
              <w:t>functies</w:t>
            </w:r>
          </w:p>
        </w:tc>
      </w:tr>
      <w:tr w:rsidR="0052350D" w:rsidRPr="007D6503" w:rsidTr="00BD7511"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sz w:val="20"/>
                <w:szCs w:val="20"/>
              </w:rPr>
              <w:t xml:space="preserve">Michiel </w:t>
            </w:r>
            <w:proofErr w:type="spellStart"/>
            <w:r w:rsidRPr="00174593">
              <w:rPr>
                <w:rFonts w:cstheme="minorHAnsi"/>
                <w:sz w:val="20"/>
                <w:szCs w:val="20"/>
              </w:rPr>
              <w:t>Geuzinge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74593">
              <w:rPr>
                <w:rFonts w:cstheme="minorHAnsi"/>
                <w:sz w:val="20"/>
                <w:szCs w:val="20"/>
              </w:rPr>
              <w:t>(1970)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174593">
              <w:rPr>
                <w:rFonts w:cstheme="minorHAnsi"/>
                <w:sz w:val="20"/>
                <w:szCs w:val="20"/>
              </w:rPr>
              <w:t>(voorzitter)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sz w:val="20"/>
                <w:szCs w:val="20"/>
              </w:rPr>
              <w:t>1-9-2013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sz w:val="20"/>
                <w:szCs w:val="20"/>
              </w:rPr>
              <w:t>2e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sz w:val="20"/>
                <w:szCs w:val="20"/>
              </w:rPr>
              <w:t>Alg. zaken, ontwikkelingen politiek en maatschappelijk veld, strategie, juridische zaken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sz w:val="20"/>
                <w:szCs w:val="20"/>
              </w:rPr>
              <w:t>Coördinator zorg en veiligheid VNG</w:t>
            </w:r>
          </w:p>
        </w:tc>
      </w:tr>
      <w:tr w:rsidR="0052350D" w:rsidRPr="007D6503" w:rsidTr="00BD7511"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sz w:val="20"/>
                <w:szCs w:val="20"/>
              </w:rPr>
              <w:t>Matthijs Kloek (1971)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74593">
              <w:rPr>
                <w:rFonts w:cstheme="minorHAnsi"/>
                <w:sz w:val="20"/>
                <w:szCs w:val="20"/>
              </w:rPr>
              <w:t>Waarnemend voorzitter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sz w:val="20"/>
                <w:szCs w:val="20"/>
              </w:rPr>
              <w:t>1-9-2016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sz w:val="20"/>
                <w:szCs w:val="20"/>
              </w:rPr>
              <w:t>1e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sz w:val="20"/>
                <w:szCs w:val="20"/>
              </w:rPr>
              <w:t>Financiën/bedrijfsvoering</w:t>
            </w:r>
            <w:r>
              <w:rPr>
                <w:rFonts w:cstheme="minorHAnsi"/>
                <w:sz w:val="20"/>
                <w:szCs w:val="20"/>
              </w:rPr>
              <w:br/>
              <w:t>Lid f</w:t>
            </w:r>
            <w:r w:rsidRPr="00174593">
              <w:rPr>
                <w:rFonts w:cstheme="minorHAnsi"/>
                <w:sz w:val="20"/>
                <w:szCs w:val="20"/>
              </w:rPr>
              <w:t>inanciële commissie</w:t>
            </w:r>
          </w:p>
          <w:p w:rsidR="0052350D" w:rsidRPr="00174593" w:rsidRDefault="0052350D" w:rsidP="00BD75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pStyle w:val="Reedsopgemaakteteks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74593">
              <w:rPr>
                <w:rFonts w:asciiTheme="minorHAnsi" w:hAnsiTheme="minorHAnsi" w:cstheme="minorHAnsi"/>
                <w:sz w:val="20"/>
                <w:szCs w:val="20"/>
              </w:rPr>
              <w:t xml:space="preserve">Manager dienstverlening gespecialiseerde zorg </w:t>
            </w:r>
            <w:proofErr w:type="spellStart"/>
            <w:r w:rsidRPr="00174593">
              <w:rPr>
                <w:rFonts w:asciiTheme="minorHAnsi" w:hAnsiTheme="minorHAnsi" w:cstheme="minorHAnsi"/>
                <w:sz w:val="20"/>
                <w:szCs w:val="20"/>
              </w:rPr>
              <w:t>ViVa</w:t>
            </w:r>
            <w:proofErr w:type="spellEnd"/>
            <w:r w:rsidRPr="0017459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4593">
              <w:rPr>
                <w:rFonts w:asciiTheme="minorHAnsi" w:hAnsiTheme="minorHAnsi" w:cstheme="minorHAnsi"/>
                <w:sz w:val="20"/>
                <w:szCs w:val="20"/>
              </w:rPr>
              <w:t>Zorggroep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 voorzitter bestuur SKGA</w:t>
            </w:r>
          </w:p>
        </w:tc>
      </w:tr>
      <w:tr w:rsidR="0052350D" w:rsidRPr="007D6503" w:rsidTr="00BD7511"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sz w:val="20"/>
                <w:szCs w:val="20"/>
              </w:rPr>
              <w:t>Marijke Vos</w:t>
            </w:r>
            <w:r>
              <w:rPr>
                <w:rFonts w:cstheme="minorHAnsi"/>
                <w:sz w:val="20"/>
                <w:szCs w:val="20"/>
              </w:rPr>
              <w:br/>
              <w:t>(1957)</w:t>
            </w:r>
            <w:r>
              <w:rPr>
                <w:rFonts w:cstheme="minorHAnsi"/>
                <w:sz w:val="20"/>
                <w:szCs w:val="20"/>
              </w:rPr>
              <w:br/>
              <w:t>(voorzitter per 1/1/2020)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1-9</w:t>
            </w:r>
            <w:r w:rsidRPr="00174593">
              <w:rPr>
                <w:rFonts w:cstheme="minorHAnsi"/>
                <w:sz w:val="20"/>
                <w:szCs w:val="20"/>
              </w:rPr>
              <w:t>-2019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1e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Algemene zaken, o</w:t>
            </w:r>
            <w:r w:rsidRPr="001737F2">
              <w:rPr>
                <w:rFonts w:cstheme="minorHAnsi"/>
                <w:sz w:val="20"/>
                <w:szCs w:val="20"/>
              </w:rPr>
              <w:t>ntwikkelingen politiek en maatschappelijk veld</w:t>
            </w:r>
            <w:r>
              <w:rPr>
                <w:rFonts w:cstheme="minorHAnsi"/>
                <w:sz w:val="20"/>
                <w:szCs w:val="20"/>
              </w:rPr>
              <w:t>, s</w:t>
            </w:r>
            <w:r w:rsidRPr="001737F2">
              <w:rPr>
                <w:rFonts w:cstheme="minorHAnsi"/>
                <w:sz w:val="20"/>
                <w:szCs w:val="20"/>
              </w:rPr>
              <w:t>trategie</w:t>
            </w:r>
            <w:r>
              <w:rPr>
                <w:rFonts w:cstheme="minorHAnsi"/>
                <w:sz w:val="20"/>
                <w:szCs w:val="20"/>
              </w:rPr>
              <w:t xml:space="preserve"> en j</w:t>
            </w:r>
            <w:r w:rsidRPr="001737F2">
              <w:rPr>
                <w:rFonts w:cstheme="minorHAnsi"/>
                <w:sz w:val="20"/>
                <w:szCs w:val="20"/>
              </w:rPr>
              <w:t>uridische zaken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50D" w:rsidRPr="00DF3569" w:rsidRDefault="0052350D" w:rsidP="00BD7511">
            <w:pPr>
              <w:pStyle w:val="Reedsopgemaaktetekst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F3569">
              <w:rPr>
                <w:rFonts w:asciiTheme="majorHAnsi" w:hAnsiTheme="majorHAnsi" w:cstheme="majorHAnsi"/>
                <w:sz w:val="20"/>
                <w:szCs w:val="20"/>
              </w:rPr>
              <w:t>Raad van State, afdeling Advisering Wetgeving</w:t>
            </w:r>
          </w:p>
        </w:tc>
      </w:tr>
      <w:tr w:rsidR="0052350D" w:rsidRPr="007D6503" w:rsidTr="00BD7511"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sz w:val="20"/>
                <w:szCs w:val="20"/>
                <w:lang w:val="en-US"/>
              </w:rPr>
              <w:t xml:space="preserve">Judith </w:t>
            </w:r>
            <w:proofErr w:type="spellStart"/>
            <w:r w:rsidRPr="00174593">
              <w:rPr>
                <w:rFonts w:cstheme="minorHAnsi"/>
                <w:sz w:val="20"/>
                <w:szCs w:val="20"/>
                <w:lang w:val="en-US"/>
              </w:rPr>
              <w:t>Oostendorp</w:t>
            </w:r>
            <w:proofErr w:type="spellEnd"/>
            <w:r w:rsidRPr="0017459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174593">
              <w:rPr>
                <w:rFonts w:cstheme="minorHAnsi"/>
                <w:sz w:val="20"/>
                <w:szCs w:val="20"/>
              </w:rPr>
              <w:t>(1962)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sz w:val="20"/>
                <w:szCs w:val="20"/>
              </w:rPr>
              <w:t>1-12-2015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sz w:val="20"/>
                <w:szCs w:val="20"/>
              </w:rPr>
              <w:t>1e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sz w:val="20"/>
                <w:szCs w:val="20"/>
              </w:rPr>
              <w:t>Onderzoek en kwaliteit</w:t>
            </w:r>
            <w:r>
              <w:rPr>
                <w:rFonts w:cstheme="minorHAnsi"/>
                <w:sz w:val="20"/>
                <w:szCs w:val="20"/>
              </w:rPr>
              <w:br/>
              <w:t>Lid commissie Kwaliteit en V</w:t>
            </w:r>
            <w:r w:rsidRPr="00174593">
              <w:rPr>
                <w:rFonts w:cstheme="minorHAnsi"/>
                <w:sz w:val="20"/>
                <w:szCs w:val="20"/>
              </w:rPr>
              <w:t>eiligheid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sz w:val="20"/>
                <w:szCs w:val="20"/>
              </w:rPr>
              <w:t>Programmahoofd Opvoeding &amp; Educatie,  Trimbos Instituut</w:t>
            </w:r>
          </w:p>
        </w:tc>
      </w:tr>
      <w:tr w:rsidR="0052350D" w:rsidRPr="007D6503" w:rsidTr="00BD7511"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sz w:val="20"/>
                <w:szCs w:val="20"/>
              </w:rPr>
              <w:t>Daniëlle Meijer (1975)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sz w:val="20"/>
                <w:szCs w:val="20"/>
              </w:rPr>
              <w:t>1-4-2017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sz w:val="20"/>
                <w:szCs w:val="20"/>
              </w:rPr>
              <w:t>1e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sz w:val="20"/>
                <w:szCs w:val="20"/>
              </w:rPr>
              <w:t>Strategie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pStyle w:val="Reedsopgemaakteteks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74593">
              <w:rPr>
                <w:rFonts w:asciiTheme="minorHAnsi" w:hAnsiTheme="minorHAnsi" w:cstheme="minorHAnsi"/>
                <w:sz w:val="20"/>
                <w:szCs w:val="20"/>
              </w:rPr>
              <w:t>Vestigingsdirecteur PI Almere (DJI)</w:t>
            </w:r>
          </w:p>
        </w:tc>
      </w:tr>
      <w:tr w:rsidR="0052350D" w:rsidRPr="007D6503" w:rsidTr="00BD7511"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A32E1D" w:rsidRDefault="0052350D" w:rsidP="00BD7511">
            <w:pPr>
              <w:rPr>
                <w:rFonts w:cstheme="minorHAnsi"/>
                <w:sz w:val="20"/>
                <w:szCs w:val="20"/>
              </w:rPr>
            </w:pPr>
            <w:r w:rsidRPr="00A32E1D">
              <w:rPr>
                <w:rFonts w:cstheme="minorHAnsi"/>
                <w:sz w:val="20"/>
                <w:szCs w:val="20"/>
              </w:rPr>
              <w:t xml:space="preserve">Carolien </w:t>
            </w:r>
            <w:proofErr w:type="spellStart"/>
            <w:r w:rsidRPr="00A32E1D">
              <w:rPr>
                <w:rFonts w:cstheme="minorHAnsi"/>
                <w:sz w:val="20"/>
                <w:szCs w:val="20"/>
              </w:rPr>
              <w:t>Gravesteijn</w:t>
            </w:r>
            <w:proofErr w:type="spellEnd"/>
            <w:r w:rsidRPr="00A32E1D">
              <w:rPr>
                <w:rFonts w:cstheme="minorHAnsi"/>
                <w:sz w:val="20"/>
                <w:szCs w:val="20"/>
              </w:rPr>
              <w:t xml:space="preserve"> (1965)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sz w:val="20"/>
                <w:szCs w:val="20"/>
              </w:rPr>
              <w:t>1-4-2017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sz w:val="20"/>
                <w:szCs w:val="20"/>
              </w:rPr>
              <w:t>1e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174593">
              <w:rPr>
                <w:rFonts w:cstheme="minorHAnsi"/>
                <w:sz w:val="20"/>
                <w:szCs w:val="20"/>
              </w:rPr>
              <w:t>Ouderschap, onderzoek</w:t>
            </w:r>
            <w:r>
              <w:rPr>
                <w:rFonts w:cstheme="minorHAnsi"/>
                <w:sz w:val="20"/>
                <w:szCs w:val="20"/>
              </w:rPr>
              <w:br/>
              <w:t>Lid commissie K</w:t>
            </w:r>
            <w:r w:rsidRPr="00174593">
              <w:rPr>
                <w:rFonts w:cstheme="minorHAnsi"/>
                <w:sz w:val="20"/>
                <w:szCs w:val="20"/>
              </w:rPr>
              <w:t xml:space="preserve">waliteit en </w:t>
            </w:r>
            <w:r>
              <w:rPr>
                <w:rFonts w:cstheme="minorHAnsi"/>
                <w:sz w:val="20"/>
                <w:szCs w:val="20"/>
              </w:rPr>
              <w:t>V</w:t>
            </w:r>
            <w:r w:rsidRPr="00174593">
              <w:rPr>
                <w:rFonts w:cstheme="minorHAnsi"/>
                <w:sz w:val="20"/>
                <w:szCs w:val="20"/>
              </w:rPr>
              <w:t>eiligheid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50D" w:rsidRPr="00174593" w:rsidRDefault="0052350D" w:rsidP="00BD7511">
            <w:pPr>
              <w:pStyle w:val="Reedsopgemaakteteks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74593">
              <w:rPr>
                <w:rFonts w:asciiTheme="minorHAnsi" w:hAnsiTheme="minorHAnsi" w:cstheme="minorHAnsi"/>
                <w:sz w:val="20"/>
                <w:szCs w:val="20"/>
              </w:rPr>
              <w:t>Lector Ouderschap &amp; Ouderbegeleiding</w:t>
            </w:r>
          </w:p>
          <w:p w:rsidR="0052350D" w:rsidRPr="00174593" w:rsidRDefault="0052350D" w:rsidP="00BD7511">
            <w:pPr>
              <w:pStyle w:val="Reedsopgemaakteteks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74593">
              <w:rPr>
                <w:rFonts w:asciiTheme="minorHAnsi" w:hAnsiTheme="minorHAnsi" w:cstheme="minorHAnsi"/>
                <w:sz w:val="20"/>
                <w:szCs w:val="20"/>
              </w:rPr>
              <w:t>Hogeschool Leiden</w:t>
            </w:r>
          </w:p>
        </w:tc>
      </w:tr>
    </w:tbl>
    <w:p w:rsidR="0052350D" w:rsidRPr="007D6503" w:rsidRDefault="0052350D" w:rsidP="0052350D">
      <w:pPr>
        <w:rPr>
          <w:rFonts w:cstheme="minorHAnsi"/>
        </w:rPr>
      </w:pPr>
    </w:p>
    <w:p w:rsidR="0052350D" w:rsidRPr="003655E5" w:rsidRDefault="0052350D" w:rsidP="0052350D">
      <w:pPr>
        <w:rPr>
          <w:rFonts w:cstheme="minorHAnsi"/>
        </w:rPr>
      </w:pPr>
      <w:r w:rsidRPr="00A32E1D">
        <w:rPr>
          <w:rFonts w:cstheme="minorHAnsi"/>
          <w:b/>
        </w:rPr>
        <w:t>Bezoldiging</w:t>
      </w:r>
      <w:r>
        <w:rPr>
          <w:rFonts w:cstheme="minorHAnsi"/>
        </w:rPr>
        <w:br/>
      </w:r>
      <w:r w:rsidRPr="007D6503">
        <w:rPr>
          <w:rFonts w:cstheme="minorHAnsi"/>
        </w:rPr>
        <w:t xml:space="preserve">‘t Kabouterhuis </w:t>
      </w:r>
      <w:r>
        <w:rPr>
          <w:rFonts w:cstheme="minorHAnsi"/>
        </w:rPr>
        <w:t xml:space="preserve">is ingedeeld in Klasse IV van de speciaal voor zorginstellingen geldende </w:t>
      </w:r>
      <w:r w:rsidRPr="007D6503">
        <w:rPr>
          <w:rFonts w:cstheme="minorHAnsi"/>
        </w:rPr>
        <w:t>W</w:t>
      </w:r>
      <w:r>
        <w:rPr>
          <w:rFonts w:cstheme="minorHAnsi"/>
        </w:rPr>
        <w:t xml:space="preserve">et Normering </w:t>
      </w:r>
      <w:r w:rsidRPr="007D6503">
        <w:rPr>
          <w:rFonts w:cstheme="minorHAnsi"/>
        </w:rPr>
        <w:t>bezoldiging Topfunctionarissen publieke en semipublieke sector</w:t>
      </w:r>
      <w:r>
        <w:rPr>
          <w:rFonts w:cstheme="minorHAnsi"/>
        </w:rPr>
        <w:t xml:space="preserve">. </w:t>
      </w:r>
      <w:r w:rsidRPr="007D6503">
        <w:rPr>
          <w:rFonts w:cstheme="minorHAnsi"/>
        </w:rPr>
        <w:t>De bezoldiging van de directeur-bestuurder valt in deze klasse.</w:t>
      </w:r>
      <w:r>
        <w:rPr>
          <w:rFonts w:cstheme="minorHAnsi"/>
        </w:rPr>
        <w:t xml:space="preserve"> </w:t>
      </w:r>
      <w:r w:rsidRPr="007D6503">
        <w:rPr>
          <w:rFonts w:cstheme="minorHAnsi"/>
        </w:rPr>
        <w:t xml:space="preserve">De </w:t>
      </w:r>
      <w:r>
        <w:rPr>
          <w:rFonts w:cstheme="minorHAnsi"/>
        </w:rPr>
        <w:t xml:space="preserve">raad </w:t>
      </w:r>
      <w:r w:rsidRPr="007D6503">
        <w:rPr>
          <w:rFonts w:cstheme="minorHAnsi"/>
        </w:rPr>
        <w:t xml:space="preserve">bepaalt haar eigen honorering. Deze </w:t>
      </w:r>
      <w:r>
        <w:rPr>
          <w:rFonts w:cstheme="minorHAnsi"/>
        </w:rPr>
        <w:t xml:space="preserve">bruto </w:t>
      </w:r>
      <w:r w:rsidRPr="007D6503">
        <w:rPr>
          <w:rFonts w:cstheme="minorHAnsi"/>
        </w:rPr>
        <w:t xml:space="preserve">vergoeding geldt in gelijke mate voor alle leden van de RvT. </w:t>
      </w:r>
      <w:r>
        <w:rPr>
          <w:rFonts w:cstheme="minorHAnsi"/>
        </w:rPr>
        <w:t>G</w:t>
      </w:r>
      <w:r w:rsidRPr="003655E5">
        <w:rPr>
          <w:rStyle w:val="Verwijzingopmerking1"/>
          <w:rFonts w:cstheme="minorHAnsi"/>
          <w:sz w:val="22"/>
          <w:szCs w:val="22"/>
        </w:rPr>
        <w:t xml:space="preserve">edetailleerde informatie over de bezoldiging van de directeur-bestuurder en de leden van de </w:t>
      </w:r>
      <w:r>
        <w:rPr>
          <w:rStyle w:val="Verwijzingopmerking1"/>
          <w:rFonts w:cstheme="minorHAnsi"/>
          <w:sz w:val="22"/>
          <w:szCs w:val="22"/>
        </w:rPr>
        <w:t>raad staat in de jaarrekening 2019</w:t>
      </w:r>
      <w:r w:rsidRPr="003655E5">
        <w:rPr>
          <w:rStyle w:val="Verwijzingopmerking1"/>
          <w:rFonts w:cstheme="minorHAnsi"/>
          <w:sz w:val="22"/>
          <w:szCs w:val="22"/>
        </w:rPr>
        <w:t>.</w:t>
      </w:r>
    </w:p>
    <w:p w:rsidR="0052350D" w:rsidRPr="008F25D2" w:rsidRDefault="0052350D" w:rsidP="0052350D">
      <w:pPr>
        <w:rPr>
          <w:rFonts w:cstheme="minorHAnsi"/>
          <w:b/>
        </w:rPr>
      </w:pPr>
      <w:proofErr w:type="spellStart"/>
      <w:r w:rsidRPr="007D6503">
        <w:rPr>
          <w:rFonts w:cstheme="minorHAnsi"/>
          <w:b/>
        </w:rPr>
        <w:t>Governance</w:t>
      </w:r>
      <w:proofErr w:type="spellEnd"/>
      <w:r w:rsidRPr="007D6503">
        <w:rPr>
          <w:rFonts w:cstheme="minorHAnsi"/>
          <w:b/>
        </w:rPr>
        <w:t xml:space="preserve"> Code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De </w:t>
      </w:r>
      <w:proofErr w:type="spellStart"/>
      <w:r>
        <w:rPr>
          <w:rFonts w:cstheme="minorHAnsi"/>
        </w:rPr>
        <w:t>Governance</w:t>
      </w:r>
      <w:proofErr w:type="spellEnd"/>
      <w:r>
        <w:rPr>
          <w:rFonts w:cstheme="minorHAnsi"/>
        </w:rPr>
        <w:t xml:space="preserve"> C</w:t>
      </w:r>
      <w:r w:rsidRPr="007A6B23">
        <w:rPr>
          <w:rFonts w:cstheme="minorHAnsi"/>
        </w:rPr>
        <w:t xml:space="preserve">ode Zorg 2017 is </w:t>
      </w:r>
      <w:r>
        <w:rPr>
          <w:rFonts w:cstheme="minorHAnsi"/>
        </w:rPr>
        <w:t xml:space="preserve">voor de RvT </w:t>
      </w:r>
      <w:r w:rsidRPr="007A6B23">
        <w:rPr>
          <w:rFonts w:cstheme="minorHAnsi"/>
        </w:rPr>
        <w:t xml:space="preserve">in de eerste plaats een richtinggevend </w:t>
      </w:r>
      <w:r>
        <w:rPr>
          <w:rFonts w:cstheme="minorHAnsi"/>
        </w:rPr>
        <w:t xml:space="preserve">document voor het toetsen van de eigen werkwijze. Zo ook in 2019. </w:t>
      </w:r>
      <w:r w:rsidRPr="007A6B23">
        <w:rPr>
          <w:rFonts w:cstheme="minorHAnsi"/>
        </w:rPr>
        <w:t xml:space="preserve">De code biedt een instrument om de </w:t>
      </w:r>
      <w:proofErr w:type="spellStart"/>
      <w:r w:rsidRPr="007A6B23">
        <w:rPr>
          <w:rFonts w:cstheme="minorHAnsi"/>
        </w:rPr>
        <w:t>governance</w:t>
      </w:r>
      <w:proofErr w:type="spellEnd"/>
      <w:r w:rsidRPr="007A6B23">
        <w:rPr>
          <w:rFonts w:cstheme="minorHAnsi"/>
        </w:rPr>
        <w:t xml:space="preserve"> zo in te richten dat die bijdraagt aan het waarborgen van goede zorg, aan het realiseren van haar maatschappelijke doelstelling en daarmee aan het maatschappelijk vertrouwen.</w:t>
      </w:r>
      <w:r>
        <w:rPr>
          <w:rFonts w:cstheme="minorHAnsi"/>
        </w:rPr>
        <w:t xml:space="preserve"> </w:t>
      </w:r>
    </w:p>
    <w:p w:rsidR="0052350D" w:rsidRPr="007D6503" w:rsidRDefault="0052350D" w:rsidP="0052350D">
      <w:pPr>
        <w:rPr>
          <w:rFonts w:cstheme="minorHAnsi"/>
        </w:rPr>
      </w:pPr>
    </w:p>
    <w:bookmarkEnd w:id="0"/>
    <w:p w:rsidR="00BD7511" w:rsidRDefault="00BD7511"/>
    <w:sectPr w:rsidR="00BD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Mono">
    <w:altName w:val="Arial"/>
    <w:charset w:val="01"/>
    <w:family w:val="modern"/>
    <w:pitch w:val="default"/>
    <w:sig w:usb0="00000001" w:usb1="00000000" w:usb2="00000000" w:usb3="00000000" w:csb0="00000001" w:csb1="00000000"/>
  </w:font>
  <w:font w:name="WenQuanYi Micro Hei">
    <w:charset w:val="01"/>
    <w:family w:val="modern"/>
    <w:pitch w:val="default"/>
    <w:sig w:usb0="00000001" w:usb1="00000000" w:usb2="00000000" w:usb3="00000000" w:csb0="00000001" w:csb1="00000000"/>
  </w:font>
  <w:font w:name="Lohit Hindi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0D"/>
    <w:rsid w:val="0052350D"/>
    <w:rsid w:val="00647798"/>
    <w:rsid w:val="009877BE"/>
    <w:rsid w:val="00BD7511"/>
    <w:rsid w:val="00B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116A"/>
  <w15:chartTrackingRefBased/>
  <w15:docId w15:val="{3E622FDF-2CC4-4E86-8AFF-845EE8F5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edsopgemaaktetekst">
    <w:name w:val="Reeds opgemaakte tekst"/>
    <w:basedOn w:val="Standaard"/>
    <w:rsid w:val="0052350D"/>
    <w:pPr>
      <w:widowControl w:val="0"/>
      <w:suppressAutoHyphens/>
      <w:spacing w:after="0" w:line="240" w:lineRule="auto"/>
    </w:pPr>
    <w:rPr>
      <w:rFonts w:ascii="Droid Sans Mono" w:eastAsia="WenQuanYi Micro Hei" w:hAnsi="Droid Sans Mono" w:cs="Lohit Hindi"/>
      <w:kern w:val="1"/>
      <w:lang w:eastAsia="zh-CN" w:bidi="hi-IN"/>
    </w:rPr>
  </w:style>
  <w:style w:type="character" w:customStyle="1" w:styleId="Verwijzingopmerking1">
    <w:name w:val="Verwijzing opmerking1"/>
    <w:rsid w:val="0052350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F3485849</Template>
  <TotalTime>17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Kabouterhuis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Flier</dc:creator>
  <cp:keywords/>
  <dc:description/>
  <cp:lastModifiedBy>Judith Flier</cp:lastModifiedBy>
  <cp:revision>2</cp:revision>
  <dcterms:created xsi:type="dcterms:W3CDTF">2020-05-22T09:43:00Z</dcterms:created>
  <dcterms:modified xsi:type="dcterms:W3CDTF">2020-06-09T14:27:00Z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